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35" w:rsidRDefault="004E0B35" w:rsidP="004E0B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4E0B35" w:rsidRDefault="004E0B35" w:rsidP="004E0B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УСТАВНИ ОСНОВ ЗА ДОНОШЕЊЕ ЗАКОНА </w:t>
      </w:r>
    </w:p>
    <w:p w:rsidR="004E0B35" w:rsidRDefault="004E0B35" w:rsidP="004E0B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Уставни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одредби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15.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Устава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обезбеђује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остваривања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утврђених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Истовремено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61/05, 107/09, 78/11 и 68/15)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прописује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гаранцију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измирење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B35" w:rsidRDefault="004E0B35" w:rsidP="004E0B3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РАЗЛОЗИ ЗА ДОНОШЕЊЕ ЗАКОНА </w:t>
      </w:r>
    </w:p>
    <w:p w:rsidR="004E0B35" w:rsidRDefault="004E0B35" w:rsidP="004E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Разлози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овог з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гаранције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развојне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Франкфурт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Мајни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Споразума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>
        <w:rPr>
          <w:rFonts w:ascii="Times New Roman" w:hAnsi="Times New Roman" w:cs="Times New Roman"/>
          <w:sz w:val="24"/>
          <w:szCs w:val="24"/>
        </w:rPr>
        <w:t>, BMZ-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2011 66 073,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пројектом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Модернизација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отпепељивање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А” (у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Споразум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закљученог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28.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фебруара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2017.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Електропривреда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Зајмопримац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45.000.000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Споразума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гаранције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гаранција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Споразума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предвиђено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аранцију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плаћање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обезбеђење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Законом о буџету Републике Србије за 2017. годину („Службени гласник РС”, број 99/16), у члану 3. предвиђено је давање гаранције Републике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Србије </w:t>
      </w:r>
      <w:r>
        <w:rPr>
          <w:rFonts w:ascii="Times New Roman" w:hAnsi="Times New Roman" w:cs="Times New Roman"/>
          <w:sz w:val="24"/>
          <w:szCs w:val="24"/>
          <w:lang w:val="sr-Latn-CS"/>
        </w:rPr>
        <w:t>KfW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-у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 износу до 45.000.000 </w:t>
      </w:r>
      <w:r>
        <w:rPr>
          <w:rFonts w:ascii="Times New Roman" w:hAnsi="Times New Roman" w:cs="Times New Roman"/>
          <w:sz w:val="24"/>
          <w:szCs w:val="24"/>
          <w:lang w:val="sr-Cyrl-RS"/>
        </w:rPr>
        <w:t>евра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 основу задужења Зајмопримца за финансирање реконструкције система за транспорт пепела и шљаке, ТЕНТ А што се односи на Пројекат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Модернизација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отпепељивање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А” (у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Пројекат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Циљ овог пројекта је рeкoнструкциja систeмa зa прикупљање, транспорт и oдлaгaњe пeпeлa и шљaкe у највећој термоелектрани у Републици Србији, кao и пoбoљшaњe пeрфoрмaнси пoмeнутoг систeмa у погледу заштите живoтне срeдине. 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Разлози за реконструкцију налазе се у намери да се добије поуздан техничко – технолошки систем, којим ће се пепео, шљака и гипс из свих блокова депоновати, уз задовољење услова заштите животне средине. На тај начин ће се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спречити разношење пепела ветром, недозвољено загађење подземних и површинских вода (реке Саве), загађење околног тла, као и решавање отпадних вода које су у систему отпепељивања.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Реконструкцијом ће се добити одговарајуће технолошко решење и обезбедити испуњење захтева законске регулативе, како домаће тако и ЕУ, у погледу заштите ваздуха, воде и земљишта. 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Дa би сe прeтхoднo нaвeдeни циљ пoстигao, пoтрeбнo je зaмeнити пoстojeћи систeм зa oдлaгaњe пeпeлa и шљaкe, зaснoвaн нa хидрaуличкoм трaнспoрту рaзблaжeнe хидрo мeшaвинe сa oднoсoм вoдa – пeпeo 10 прeмa 1. Примeнoм нoвe тeхнoлoгиje зa oдлaгaњe пeпeлa, утицaj систeмa зa oдлaгaњe нa квaлитeт пoвршинских и пoдзeмних вoдa, кao и нa квaлитeт вaздухa биће смањeн нa прихвaтљив нивo. 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Нa oснoву стeчeних искустaвa и истрaживaњa спрoвeдeних дo сaдa, тeхнoлoгиja густe хидрo мeшaвинe сe пoкaзaлa кao eкoлoшки пoжeљниje рeшeњe, прe свeгa збoг знaтнo мaњe кoличинe вoдe кoja сe кoристи у трaнспoрту хидрo мeшaвинe, што као резултат има смaњeње нeгaтивнoг утицaja нa квaлитeт пoдзeмних и пoвршинских вoдa. Нa oвaj нaчин ћe сe и нeгaтивни утицajи нa зaгaђeњe вaздухa у зoни дeпoниje свeсти нa прихвaтљив нивo. 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Нoвoпрojeктoвaни систeм зa oдлaгaњe пeпeлa и шљaкe oбухвaтa eкстрaкциjу и уклaњaњe пeпeлa и шљaкe сa свaкoг oд шeст блoкoвa TEНT A1–A6 и склaдиштeњe пeпeлa у сaбирнe силoсe. Склaдиштeни пeпeo у силoсимa ћe бити кoнтрoлисaнo дoпрeмљeн у пoстрojeњe зa припрeму хидрo мeшaвинe, гдe ћe густa хидрo мeшaвинa бити припрeмљeнa, a пoтoм трaнспoртoвaнa нa oдлaгaлиштe пeпeлa.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Teхнoлoгиja кoja ћe бити примeњeнa кoд систeмa зa трaнспoрт и склaдиштeњe пeпeлa и шљaкe у TEНT A пoслe рeкoнструкциje систeмa, зaснивa сe нa слeдeћим принципимa: 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– сaбирни силoси кojи ћe сe кoристити зa склaдиштeњe сувoг лeтeћeг пeпeлa нaстaлoг у блoкoвимa TEНT A биће изгрaђeни у oквиру кoмплeксa пoстрojeњa; лeтeћи пeпeo из сaбирних силoсa бићe хидрaулички трaнспoртoвaн нa oдлaгaлиштe пeпeлa, у oблику густe мeшaвинe; 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шљaкa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издвojeнa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испoд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лoжиштa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кoтлa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TEНТ A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транспортоваће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сaбирни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силoс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шљaку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oдгoвaрajућим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хидрaуличким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систeмoм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трaнспoрт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;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испoрукe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пeпeлa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спoљним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кoрисницимa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бићe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изгрaђeн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систeм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истoвaр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лeтeћeг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пeпeлa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шљaкe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кaмиoн-цистeрнe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блoкoвимa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A3–A6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плaнирa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изгрaдњa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систeмa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oдсумпoрaвaњe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димних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гaсoвa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предвиђено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прojeктoм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обезбеди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прихвaт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суспeнзиje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гипсa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тoг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пoстрojeњa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рaди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oбjeдињeнoг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трaнспoртa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дeпoнoвaњa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пeпeлoм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шљaкoм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фoрмирaњe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приврeмeнe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дeпoниje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гипсa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рeкoнструкциja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систeмa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спрoвoди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фaзaмa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; н</w:t>
      </w:r>
      <w:proofErr w:type="spellStart"/>
      <w:r>
        <w:rPr>
          <w:rFonts w:ascii="Times New Roman" w:hAnsi="Times New Roman" w:cs="Times New Roman"/>
          <w:sz w:val="24"/>
          <w:szCs w:val="24"/>
        </w:rPr>
        <w:t>ajпрe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изгрaђeни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зajeднички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систeми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кojи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зaхтeвajу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приврeмeни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прeстaнaк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рaдa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блoкoвa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; п</w:t>
      </w:r>
      <w:proofErr w:type="spellStart"/>
      <w:r>
        <w:rPr>
          <w:rFonts w:ascii="Times New Roman" w:hAnsi="Times New Roman" w:cs="Times New Roman"/>
          <w:sz w:val="24"/>
          <w:szCs w:val="24"/>
        </w:rPr>
        <w:t>рoизвoдни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блoкoви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зaтим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фазама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прикључити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изгрaђeнe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зajeдничкe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систeмe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склaду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динaмикoм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плaнa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изгрaдњe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погледу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побољшања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услoвa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зaштитe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живoтнe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срeдинe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Пројекат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сврстан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пројеката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преговора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развојној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сарадњи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Савезне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Немачке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24–25.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новембра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2015.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Берлину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Процењена вредност Пројекта je oкo 55.000.000 eврa, од чега ће 45.000.000 eврa бити обезбеђено из крeдита KfW-а, уз гаранцију Републике, док ће преостали износ обезбедити Зајмопримац из сoпствених срeдставa. </w:t>
      </w:r>
    </w:p>
    <w:p w:rsidR="004E0B35" w:rsidRDefault="004E0B35" w:rsidP="004E0B3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ab/>
        <w:t xml:space="preserve">Закључком Владе 05 Број: 48-10452/2016 од 3. новембра 2016. године утврђена је Основа и одређена делегација за преговоре са KfW-ом, коју су сачињавали представници Министарства финансија, Министарства рударства и енергетике и Јавног предузећа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Електропривреда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.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Након завршених преговора, Влада је Закључком 05 Број: 48-1307/2017 од 23. фебруара 2017. године прихватила Извештај са преговора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текст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Споразума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зајму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који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је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закључен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28.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фебруара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2017.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године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између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Зајмопримца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Истим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Закључком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усвојен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је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Нацрт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гаранције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плаћање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Републике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Србије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по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задужењу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Зајмопримца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заступника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28.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фебруара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2017.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потписао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Александар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енергетике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гаранције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KfW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-а и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доношење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одговарајућег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закона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давању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гаранције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представљају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услов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ступање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снагу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Споразума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зајму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коришћење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кредитних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средстава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спровођење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Пројекта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  <w:proofErr w:type="gramEnd"/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Споразумом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предвиђено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одобри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Зајмопримцу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следећим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– износ задужења 45.000.000 евра;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– период расположивости зајма је до </w:t>
      </w:r>
      <w:r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јуна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2022.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или до другог датума који зајмопримац и KfW могу да договоре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–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исплата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средстава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зајма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вршиће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траншама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напретком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Пројекта</w:t>
      </w:r>
      <w:proofErr w:type="spellEnd"/>
      <w:r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/>
          <w:sz w:val="24"/>
          <w:szCs w:val="24"/>
        </w:rPr>
        <w:t>износу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200.000 </w:t>
      </w:r>
      <w:proofErr w:type="spellStart"/>
      <w:r>
        <w:rPr>
          <w:rFonts w:ascii="Times New Roman" w:hAnsi="Times New Roman"/>
          <w:sz w:val="24"/>
          <w:szCs w:val="24"/>
        </w:rPr>
        <w:t>евра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– фиксна каматна стопа од 0,8% годишње;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– период доспећа зајма је 1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година, укључујући период почека од пет година, тако да главница отплаћује у 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једнаких полугодишњих рата (прва рата главнице доспева на плаћање 30. јуна 2022. године, а последња 30. децембра 2028. године);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– провизија за организовање посла је 0,75% износа зајма и плаћа се једнократно;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– провизија на неискоришћени износ зајма је 0,25% годишње;</w:t>
      </w:r>
    </w:p>
    <w:p w:rsidR="004E0B35" w:rsidRDefault="004E0B35" w:rsidP="004E0B35">
      <w:pPr>
        <w:tabs>
          <w:tab w:val="left" w:pos="90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– трошкови камате и провизије на неискоришћени износ зајма биће плаћани полугодишње, 30. јуна и 30. децембра сваке године.</w:t>
      </w:r>
    </w:p>
    <w:p w:rsidR="004E0B35" w:rsidRDefault="004E0B35" w:rsidP="004E0B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По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стандардним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условима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потребно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Република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Србија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средство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обезбеђења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аранцију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плаћање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којeм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својству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гаранта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обавезује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надокнадити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износе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доспевају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наплату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Споразума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зајму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закључили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KfW и Зајмопримац 28. фебруара 2017. године.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гарантује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45.000.000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обезбеди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искоришћена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предвиђено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Споразумом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Зајмопримац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могућности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испуни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позајмљена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-у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отплате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0B35" w:rsidRDefault="004E0B35" w:rsidP="004E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ОБЈАШЊЕЊЕ ОСНОВНИХ ПРАВНИХ ИНСТИТУТА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ПОЈЕДИНАЧНИХ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РЕШЕЊА </w:t>
      </w:r>
    </w:p>
    <w:p w:rsidR="004E0B35" w:rsidRDefault="004E0B35" w:rsidP="004E0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Предлога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предвиђа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преузимање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измири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Зајмопримца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основу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задужењ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45.000.000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четрдесетпет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милиона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Предлога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предвиђа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аранцију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Споразума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Предлога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уређују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Зајмопримац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Предлога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предвиђа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регресно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уместо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Зајмопримца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IV. ФИНАНСИЈСКЕ ОБАВЕЗЕ И ПРОЦЕНА ФИНАНСИЈСКИХ СРЕДСТАВА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КОЈИ НАСТАЈУ ИЗВРШАВАЊЕМ ЗАКОНА 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обезбеђиваће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буџету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гаранције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KfW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-а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45.000.000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ројекат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предвиђено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буџету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0B35" w:rsidRDefault="004E0B35" w:rsidP="004E0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 РАЗЛОЗИ ЗА ДОНОШЕЊЕ ЗАКОНА ПО ХИТНОМ ПОСТУПКУ </w:t>
      </w: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0B35" w:rsidRDefault="004E0B35" w:rsidP="004E0B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Разлози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сагласно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Народне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20/12-пречишћен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произлазе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чињенице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Споразума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повлачење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доспећа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Зајмопримца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условљени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F6BE5" w:rsidRDefault="002F6BE5"/>
    <w:sectPr w:rsidR="002F6BE5" w:rsidSect="00051456">
      <w:foot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A41" w:rsidRDefault="00CE2A41" w:rsidP="00051456">
      <w:pPr>
        <w:spacing w:after="0" w:line="240" w:lineRule="auto"/>
      </w:pPr>
      <w:r>
        <w:separator/>
      </w:r>
    </w:p>
  </w:endnote>
  <w:endnote w:type="continuationSeparator" w:id="0">
    <w:p w:rsidR="00CE2A41" w:rsidRDefault="00CE2A41" w:rsidP="00051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110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1456" w:rsidRDefault="000514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51456" w:rsidRDefault="000514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A41" w:rsidRDefault="00CE2A41" w:rsidP="00051456">
      <w:pPr>
        <w:spacing w:after="0" w:line="240" w:lineRule="auto"/>
      </w:pPr>
      <w:r>
        <w:separator/>
      </w:r>
    </w:p>
  </w:footnote>
  <w:footnote w:type="continuationSeparator" w:id="0">
    <w:p w:rsidR="00CE2A41" w:rsidRDefault="00CE2A41" w:rsidP="00051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17870"/>
    <w:multiLevelType w:val="hybridMultilevel"/>
    <w:tmpl w:val="E7AC4B64"/>
    <w:lvl w:ilvl="0" w:tplc="6DD61C38">
      <w:start w:val="1"/>
      <w:numFmt w:val="upperRoman"/>
      <w:lvlText w:val="%1."/>
      <w:lvlJc w:val="left"/>
      <w:pPr>
        <w:ind w:left="1428" w:hanging="720"/>
      </w:pPr>
    </w:lvl>
    <w:lvl w:ilvl="1" w:tplc="241A0019">
      <w:start w:val="1"/>
      <w:numFmt w:val="lowerLetter"/>
      <w:lvlText w:val="%2."/>
      <w:lvlJc w:val="left"/>
      <w:pPr>
        <w:ind w:left="1788" w:hanging="360"/>
      </w:pPr>
    </w:lvl>
    <w:lvl w:ilvl="2" w:tplc="241A001B">
      <w:start w:val="1"/>
      <w:numFmt w:val="lowerRoman"/>
      <w:lvlText w:val="%3."/>
      <w:lvlJc w:val="right"/>
      <w:pPr>
        <w:ind w:left="2508" w:hanging="180"/>
      </w:pPr>
    </w:lvl>
    <w:lvl w:ilvl="3" w:tplc="241A000F">
      <w:start w:val="1"/>
      <w:numFmt w:val="decimal"/>
      <w:lvlText w:val="%4."/>
      <w:lvlJc w:val="left"/>
      <w:pPr>
        <w:ind w:left="3228" w:hanging="360"/>
      </w:pPr>
    </w:lvl>
    <w:lvl w:ilvl="4" w:tplc="241A0019">
      <w:start w:val="1"/>
      <w:numFmt w:val="lowerLetter"/>
      <w:lvlText w:val="%5."/>
      <w:lvlJc w:val="left"/>
      <w:pPr>
        <w:ind w:left="3948" w:hanging="360"/>
      </w:pPr>
    </w:lvl>
    <w:lvl w:ilvl="5" w:tplc="241A001B">
      <w:start w:val="1"/>
      <w:numFmt w:val="lowerRoman"/>
      <w:lvlText w:val="%6."/>
      <w:lvlJc w:val="right"/>
      <w:pPr>
        <w:ind w:left="4668" w:hanging="180"/>
      </w:pPr>
    </w:lvl>
    <w:lvl w:ilvl="6" w:tplc="241A000F">
      <w:start w:val="1"/>
      <w:numFmt w:val="decimal"/>
      <w:lvlText w:val="%7."/>
      <w:lvlJc w:val="left"/>
      <w:pPr>
        <w:ind w:left="5388" w:hanging="360"/>
      </w:pPr>
    </w:lvl>
    <w:lvl w:ilvl="7" w:tplc="241A0019">
      <w:start w:val="1"/>
      <w:numFmt w:val="lowerLetter"/>
      <w:lvlText w:val="%8."/>
      <w:lvlJc w:val="left"/>
      <w:pPr>
        <w:ind w:left="6108" w:hanging="360"/>
      </w:pPr>
    </w:lvl>
    <w:lvl w:ilvl="8" w:tplc="241A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35"/>
    <w:rsid w:val="00051456"/>
    <w:rsid w:val="002F6BE5"/>
    <w:rsid w:val="004E0B35"/>
    <w:rsid w:val="00CE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B35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B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1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456"/>
  </w:style>
  <w:style w:type="paragraph" w:styleId="Footer">
    <w:name w:val="footer"/>
    <w:basedOn w:val="Normal"/>
    <w:link w:val="FooterChar"/>
    <w:uiPriority w:val="99"/>
    <w:unhideWhenUsed/>
    <w:rsid w:val="00051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4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B35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B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1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456"/>
  </w:style>
  <w:style w:type="paragraph" w:styleId="Footer">
    <w:name w:val="footer"/>
    <w:basedOn w:val="Normal"/>
    <w:link w:val="FooterChar"/>
    <w:uiPriority w:val="99"/>
    <w:unhideWhenUsed/>
    <w:rsid w:val="00051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2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Andjelka Opacic</cp:lastModifiedBy>
  <cp:revision>2</cp:revision>
  <dcterms:created xsi:type="dcterms:W3CDTF">2017-05-11T08:09:00Z</dcterms:created>
  <dcterms:modified xsi:type="dcterms:W3CDTF">2017-05-11T08:10:00Z</dcterms:modified>
</cp:coreProperties>
</file>