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238" w:rsidRDefault="00D34238" w:rsidP="001C620C">
      <w:pPr>
        <w:pBdr>
          <w:top w:val="single" w:sz="4" w:space="1" w:color="auto"/>
          <w:left w:val="single" w:sz="4" w:space="4" w:color="auto"/>
          <w:bottom w:val="single" w:sz="4" w:space="1" w:color="auto"/>
          <w:right w:val="single" w:sz="4" w:space="4" w:color="auto"/>
        </w:pBdr>
        <w:shd w:val="clear" w:color="auto" w:fill="E6E6E6"/>
        <w:jc w:val="center"/>
        <w:rPr>
          <w:b/>
          <w:sz w:val="22"/>
          <w:szCs w:val="22"/>
          <w:lang w:val="sr-Cyrl-CS"/>
        </w:rPr>
      </w:pPr>
      <w:r>
        <w:rPr>
          <w:b/>
          <w:sz w:val="22"/>
          <w:szCs w:val="22"/>
        </w:rPr>
        <w:t>ИЗЈАВ</w:t>
      </w:r>
      <w:r>
        <w:rPr>
          <w:b/>
          <w:sz w:val="22"/>
          <w:szCs w:val="22"/>
          <w:lang w:val="sr-Cyrl-CS"/>
        </w:rPr>
        <w:t>А</w:t>
      </w:r>
      <w:r>
        <w:rPr>
          <w:b/>
          <w:sz w:val="22"/>
          <w:szCs w:val="22"/>
        </w:rPr>
        <w:t xml:space="preserve"> О УСКЛАЂЕНОСТИ </w:t>
      </w:r>
    </w:p>
    <w:p w:rsidR="00D34238" w:rsidRDefault="00D34238" w:rsidP="001C620C">
      <w:pPr>
        <w:pBdr>
          <w:top w:val="single" w:sz="4" w:space="1" w:color="auto"/>
          <w:left w:val="single" w:sz="4" w:space="4" w:color="auto"/>
          <w:bottom w:val="single" w:sz="4" w:space="1" w:color="auto"/>
          <w:right w:val="single" w:sz="4" w:space="4" w:color="auto"/>
        </w:pBdr>
        <w:shd w:val="clear" w:color="auto" w:fill="E6E6E6"/>
        <w:jc w:val="center"/>
        <w:rPr>
          <w:b/>
          <w:sz w:val="22"/>
          <w:szCs w:val="22"/>
          <w:lang w:val="sr-Cyrl-CS"/>
        </w:rPr>
      </w:pPr>
      <w:r>
        <w:rPr>
          <w:b/>
          <w:sz w:val="22"/>
          <w:szCs w:val="22"/>
          <w:lang w:val="sr-Cyrl-CS"/>
        </w:rPr>
        <w:t>ПРОПИСА СА ПРОПИСИМА ЕВРОПСКЕ УНИЈЕ</w:t>
      </w:r>
    </w:p>
    <w:p w:rsidR="00D34238" w:rsidRDefault="00D34238" w:rsidP="001C620C">
      <w:pPr>
        <w:shd w:val="clear" w:color="auto" w:fill="FFFFFF"/>
        <w:jc w:val="both"/>
        <w:rPr>
          <w:sz w:val="22"/>
          <w:szCs w:val="22"/>
          <w:lang w:val="sr-Cyrl-CS"/>
        </w:rPr>
      </w:pPr>
    </w:p>
    <w:p w:rsidR="00D34238" w:rsidRDefault="00D34238" w:rsidP="001C620C">
      <w:pPr>
        <w:pStyle w:val="FootnoteText"/>
        <w:spacing w:line="240" w:lineRule="auto"/>
        <w:rPr>
          <w:sz w:val="22"/>
          <w:szCs w:val="22"/>
          <w:lang w:val="sr-Cyrl-CS"/>
        </w:rPr>
      </w:pPr>
    </w:p>
    <w:p w:rsidR="00D34238" w:rsidRDefault="00D34238" w:rsidP="001C620C">
      <w:pPr>
        <w:jc w:val="both"/>
        <w:rPr>
          <w:sz w:val="22"/>
          <w:szCs w:val="22"/>
        </w:rPr>
      </w:pPr>
      <w:r>
        <w:rPr>
          <w:b/>
          <w:sz w:val="22"/>
          <w:szCs w:val="22"/>
        </w:rPr>
        <w:t xml:space="preserve">1. </w:t>
      </w:r>
      <w:r>
        <w:rPr>
          <w:b/>
          <w:sz w:val="22"/>
          <w:szCs w:val="22"/>
          <w:lang w:val="sr-Cyrl-CS"/>
        </w:rPr>
        <w:t>Овлашћени предлагач прописа:</w:t>
      </w:r>
      <w:r>
        <w:rPr>
          <w:sz w:val="22"/>
          <w:szCs w:val="22"/>
          <w:lang w:val="sr-Cyrl-CS"/>
        </w:rPr>
        <w:t xml:space="preserve"> Влада </w:t>
      </w:r>
    </w:p>
    <w:p w:rsidR="00D34238" w:rsidRDefault="00D34238" w:rsidP="001C620C">
      <w:pPr>
        <w:jc w:val="both"/>
        <w:rPr>
          <w:sz w:val="22"/>
          <w:szCs w:val="22"/>
        </w:rPr>
      </w:pPr>
      <w:r>
        <w:rPr>
          <w:b/>
          <w:sz w:val="22"/>
          <w:szCs w:val="22"/>
          <w:lang w:val="sr-Cyrl-CS"/>
        </w:rPr>
        <w:t>Обрађивач:</w:t>
      </w:r>
      <w:r>
        <w:rPr>
          <w:sz w:val="22"/>
          <w:szCs w:val="22"/>
        </w:rPr>
        <w:t>Министарство културе и информисања</w:t>
      </w:r>
    </w:p>
    <w:p w:rsidR="00D34238" w:rsidRDefault="00D34238" w:rsidP="001C620C">
      <w:pPr>
        <w:jc w:val="both"/>
        <w:rPr>
          <w:sz w:val="22"/>
          <w:szCs w:val="22"/>
        </w:rPr>
      </w:pPr>
    </w:p>
    <w:p w:rsidR="00D34238" w:rsidRDefault="00D34238" w:rsidP="001C620C">
      <w:pPr>
        <w:jc w:val="both"/>
        <w:rPr>
          <w:b/>
          <w:sz w:val="22"/>
          <w:szCs w:val="22"/>
          <w:lang w:val="sr-Cyrl-CS"/>
        </w:rPr>
      </w:pPr>
      <w:r>
        <w:rPr>
          <w:b/>
          <w:sz w:val="22"/>
          <w:szCs w:val="22"/>
        </w:rPr>
        <w:t xml:space="preserve">2. Назив </w:t>
      </w:r>
      <w:r>
        <w:rPr>
          <w:b/>
          <w:sz w:val="22"/>
          <w:szCs w:val="22"/>
          <w:lang w:val="sr-Cyrl-CS"/>
        </w:rPr>
        <w:t xml:space="preserve">прописа </w:t>
      </w:r>
    </w:p>
    <w:p w:rsidR="00D34238" w:rsidRDefault="00D34238" w:rsidP="001C620C">
      <w:pPr>
        <w:jc w:val="both"/>
        <w:rPr>
          <w:b/>
          <w:sz w:val="22"/>
          <w:szCs w:val="22"/>
          <w:lang w:val="sr-Cyrl-CS"/>
        </w:rPr>
      </w:pPr>
    </w:p>
    <w:p w:rsidR="00D34238" w:rsidRDefault="00D34238" w:rsidP="001C620C">
      <w:pPr>
        <w:jc w:val="both"/>
        <w:rPr>
          <w:sz w:val="22"/>
          <w:szCs w:val="22"/>
          <w:lang w:val="sr-Cyrl-CS"/>
        </w:rPr>
      </w:pPr>
      <w:r>
        <w:rPr>
          <w:sz w:val="22"/>
          <w:szCs w:val="22"/>
          <w:lang w:val="sr-Cyrl-CS"/>
        </w:rPr>
        <w:t>Предлог закона о измени  Закона о јавним медијским сервисима</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rPr>
        <w:t>Draft Law on</w:t>
      </w:r>
      <w:r>
        <w:rPr>
          <w:sz w:val="22"/>
          <w:szCs w:val="22"/>
          <w:lang w:val="sr-Latn-CS"/>
        </w:rPr>
        <w:t xml:space="preserve">Amendment to the Law on </w:t>
      </w:r>
      <w:r>
        <w:rPr>
          <w:sz w:val="22"/>
          <w:szCs w:val="22"/>
        </w:rPr>
        <w:t>Public Service Broadcasting</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а) Одредба Споразума и Прелазног споразума која се односе на нормативну саржину прописа,</w:t>
      </w: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rPr>
        <w:t xml:space="preserve">Споразум - Наслов  </w:t>
      </w:r>
      <w:r>
        <w:rPr>
          <w:sz w:val="22"/>
          <w:szCs w:val="22"/>
          <w:lang w:val="sr-Cyrl-CS"/>
        </w:rPr>
        <w:t xml:space="preserve">V – </w:t>
      </w:r>
      <w:r>
        <w:rPr>
          <w:sz w:val="22"/>
          <w:szCs w:val="22"/>
        </w:rPr>
        <w:t xml:space="preserve">Кретање радника, пословно настањивање, пружање услуга, кретање капитала, </w:t>
      </w:r>
      <w:r>
        <w:rPr>
          <w:sz w:val="22"/>
          <w:szCs w:val="22"/>
          <w:lang w:val="sr-Cyrl-CS"/>
        </w:rPr>
        <w:t>Поглавље III - Пружање услуга, чланови 59. и 60.</w:t>
      </w:r>
    </w:p>
    <w:p w:rsidR="00D34238" w:rsidRDefault="00D34238" w:rsidP="001C620C">
      <w:pPr>
        <w:jc w:val="both"/>
        <w:rPr>
          <w:sz w:val="22"/>
          <w:szCs w:val="22"/>
          <w:lang w:val="sr-Cyrl-CS"/>
        </w:rPr>
      </w:pPr>
    </w:p>
    <w:p w:rsidR="00D34238" w:rsidRDefault="00D34238" w:rsidP="001C620C">
      <w:pPr>
        <w:jc w:val="both"/>
        <w:rPr>
          <w:lang w:val="sr-Cyrl-CS"/>
        </w:rPr>
      </w:pPr>
      <w:r>
        <w:t xml:space="preserve">Споразум - Наслов  </w:t>
      </w:r>
      <w:r>
        <w:rPr>
          <w:lang w:val="sr-Cyrl-CS"/>
        </w:rPr>
        <w:t>VI - Усклађивање прописа, примена права и правила конкуренције, Конкуренција и остале економске одредбе - члан 73.</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lang w:val="sr-Cyrl-CS"/>
        </w:rPr>
        <w:t xml:space="preserve">Споразум </w:t>
      </w:r>
      <w:r>
        <w:rPr>
          <w:sz w:val="22"/>
          <w:szCs w:val="22"/>
          <w:lang w:val="sr-Latn-CS"/>
        </w:rPr>
        <w:t>-</w:t>
      </w:r>
      <w:r>
        <w:rPr>
          <w:sz w:val="22"/>
          <w:szCs w:val="22"/>
          <w:lang w:val="sr-Cyrl-CS"/>
        </w:rPr>
        <w:t xml:space="preserve">  Наслов VIII - Политике сарадње, Културна сарадња - члан</w:t>
      </w:r>
      <w:r>
        <w:rPr>
          <w:sz w:val="22"/>
          <w:szCs w:val="22"/>
        </w:rPr>
        <w:t>103., Сарадња у аудио-визуелној области - члан 104.и Информације и комуникација - члан 107.</w:t>
      </w:r>
    </w:p>
    <w:p w:rsidR="00D34238" w:rsidRDefault="00D34238" w:rsidP="001C620C">
      <w:pPr>
        <w:jc w:val="both"/>
        <w:rPr>
          <w:color w:val="FF0000"/>
          <w:sz w:val="22"/>
          <w:szCs w:val="22"/>
        </w:rPr>
      </w:pP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lang w:val="sr-Cyrl-CS"/>
        </w:rPr>
        <w:t>б) Прелазни рок за усклађивање законодавства према одредбама Споразума и Прелазног споразума,</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Општи рок.</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в) Оцена испуњености обавезе које произлазе из наведене одредбе Споразума и Прелазног споразума,</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Испуњава у потпуности.</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w:t>
      </w:r>
    </w:p>
    <w:p w:rsidR="00D34238" w:rsidRDefault="00D34238" w:rsidP="001C620C">
      <w:pPr>
        <w:jc w:val="both"/>
        <w:rPr>
          <w:sz w:val="22"/>
          <w:szCs w:val="22"/>
          <w:lang w:val="sr-Cyrl-CS"/>
        </w:rPr>
      </w:pPr>
      <w:r>
        <w:rPr>
          <w:sz w:val="22"/>
          <w:szCs w:val="22"/>
          <w:lang w:val="sr-Cyrl-CS"/>
        </w:rPr>
        <w:t>д) Веза са Националним програмом за усвајање правних тековина Европске уније.</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lang w:val="ru-RU"/>
        </w:rPr>
        <w:t>Место у структури НПАА – Поглавље 3. Способност преузимања обавеза из чланства у ЕУ – потпоглавље 3.10 Информационо друштво и медији – потпотпоглавље 3.10.3 Аудиовизуална политика</w:t>
      </w:r>
    </w:p>
    <w:p w:rsidR="00D34238" w:rsidRPr="00B24B5E" w:rsidRDefault="00D34238" w:rsidP="001C620C">
      <w:pPr>
        <w:jc w:val="both"/>
        <w:rPr>
          <w:sz w:val="22"/>
          <w:szCs w:val="22"/>
          <w:lang w:val="sr-Latn-CS"/>
        </w:rPr>
      </w:pPr>
    </w:p>
    <w:p w:rsidR="00D34238" w:rsidRDefault="00D34238" w:rsidP="001C620C">
      <w:pPr>
        <w:jc w:val="both"/>
        <w:rPr>
          <w:iCs/>
          <w:color w:val="000000"/>
          <w:sz w:val="22"/>
          <w:szCs w:val="22"/>
        </w:rPr>
      </w:pPr>
      <w:r>
        <w:rPr>
          <w:iCs/>
          <w:color w:val="000000"/>
          <w:sz w:val="22"/>
          <w:szCs w:val="22"/>
        </w:rPr>
        <w:t>Шифра прописа из НПАА базе : 2014-39</w:t>
      </w:r>
    </w:p>
    <w:p w:rsidR="00D34238" w:rsidRDefault="00D34238" w:rsidP="001C620C">
      <w:pPr>
        <w:jc w:val="both"/>
        <w:rPr>
          <w:sz w:val="22"/>
          <w:szCs w:val="22"/>
        </w:rPr>
      </w:pP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lang w:val="sr-Cyrl-CS"/>
        </w:rPr>
        <w:t xml:space="preserve">4. </w:t>
      </w:r>
      <w:r>
        <w:rPr>
          <w:sz w:val="22"/>
          <w:szCs w:val="22"/>
        </w:rPr>
        <w:t>Усклађеност</w:t>
      </w:r>
      <w:r>
        <w:rPr>
          <w:sz w:val="22"/>
          <w:szCs w:val="22"/>
          <w:lang w:val="sr-Cyrl-CS"/>
        </w:rPr>
        <w:t xml:space="preserve"> прописа </w:t>
      </w:r>
      <w:r>
        <w:rPr>
          <w:sz w:val="22"/>
          <w:szCs w:val="22"/>
        </w:rPr>
        <w:t>с</w:t>
      </w:r>
      <w:r>
        <w:rPr>
          <w:sz w:val="22"/>
          <w:szCs w:val="22"/>
          <w:lang w:val="sr-Cyrl-CS"/>
        </w:rPr>
        <w:t>а прописима Европске уније:</w:t>
      </w:r>
    </w:p>
    <w:p w:rsidR="00D34238" w:rsidRDefault="00D34238" w:rsidP="001C620C">
      <w:pPr>
        <w:jc w:val="both"/>
        <w:rPr>
          <w:sz w:val="22"/>
          <w:szCs w:val="22"/>
        </w:rPr>
      </w:pPr>
    </w:p>
    <w:p w:rsidR="00D34238" w:rsidRDefault="00D34238" w:rsidP="001C620C">
      <w:pPr>
        <w:jc w:val="both"/>
        <w:rPr>
          <w:sz w:val="22"/>
          <w:szCs w:val="22"/>
        </w:rPr>
      </w:pPr>
      <w:r>
        <w:rPr>
          <w:sz w:val="22"/>
          <w:szCs w:val="22"/>
        </w:rPr>
        <w:t xml:space="preserve">а) </w:t>
      </w:r>
      <w:r>
        <w:rPr>
          <w:sz w:val="22"/>
          <w:szCs w:val="22"/>
          <w:lang w:val="sr-Cyrl-CS"/>
        </w:rPr>
        <w:t>Навођење</w:t>
      </w:r>
      <w:r>
        <w:rPr>
          <w:sz w:val="22"/>
          <w:szCs w:val="22"/>
          <w:lang w:val="en-US"/>
        </w:rPr>
        <w:t xml:space="preserve"> </w:t>
      </w:r>
      <w:r>
        <w:rPr>
          <w:sz w:val="22"/>
          <w:szCs w:val="22"/>
          <w:lang w:val="sr-Cyrl-CS"/>
        </w:rPr>
        <w:t>одредаба</w:t>
      </w:r>
      <w:r>
        <w:rPr>
          <w:sz w:val="22"/>
          <w:szCs w:val="22"/>
        </w:rPr>
        <w:t xml:space="preserve"> примарних извора права Европске уније</w:t>
      </w:r>
      <w:r>
        <w:rPr>
          <w:sz w:val="22"/>
          <w:szCs w:val="22"/>
          <w:lang w:val="sr-Cyrl-CS"/>
        </w:rPr>
        <w:t xml:space="preserve"> и оцене усклађености са њима</w:t>
      </w:r>
      <w:r>
        <w:rPr>
          <w:sz w:val="22"/>
          <w:szCs w:val="22"/>
        </w:rPr>
        <w:t>,</w:t>
      </w: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rPr>
        <w:t>Уговор о оснивању Европске уније, Наслов I – Заједничке одредбе, члан 2. и 6. ( потпуно усклађен )</w:t>
      </w: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rPr>
        <w:t>Повеља Европске уније о основним правима, Наслов II – Слободе, члан 11. ( потпуно усклађен )</w:t>
      </w:r>
    </w:p>
    <w:p w:rsidR="00D34238" w:rsidRDefault="00D34238" w:rsidP="001C620C">
      <w:pPr>
        <w:jc w:val="both"/>
        <w:rPr>
          <w:sz w:val="22"/>
          <w:szCs w:val="22"/>
        </w:rPr>
      </w:pPr>
    </w:p>
    <w:p w:rsidR="00D34238" w:rsidRDefault="00D34238" w:rsidP="001C620C">
      <w:pPr>
        <w:jc w:val="both"/>
        <w:rPr>
          <w:sz w:val="22"/>
          <w:szCs w:val="22"/>
        </w:rPr>
      </w:pPr>
      <w:r>
        <w:rPr>
          <w:sz w:val="22"/>
          <w:szCs w:val="22"/>
        </w:rPr>
        <w:t>Европска Конвенција о заштити људских права и основних слобода, Део I – Права и слободе, члан 10. ( потпуно усклађен )</w:t>
      </w:r>
    </w:p>
    <w:p w:rsidR="00D34238" w:rsidRDefault="00D34238" w:rsidP="001C620C">
      <w:pPr>
        <w:jc w:val="both"/>
        <w:rPr>
          <w:sz w:val="22"/>
          <w:szCs w:val="22"/>
        </w:rPr>
      </w:pPr>
    </w:p>
    <w:p w:rsidR="00D34238" w:rsidRDefault="00D34238" w:rsidP="001C620C">
      <w:pPr>
        <w:jc w:val="both"/>
        <w:rPr>
          <w:sz w:val="22"/>
          <w:szCs w:val="22"/>
        </w:rPr>
      </w:pPr>
      <w:r>
        <w:rPr>
          <w:sz w:val="22"/>
          <w:szCs w:val="22"/>
          <w:lang w:val="sr-Cyrl-CS"/>
        </w:rPr>
        <w:t>Уговор о функционисању Европске уније, Део III Политике заједнице и унутрашње мере</w:t>
      </w:r>
      <w:r>
        <w:rPr>
          <w:sz w:val="22"/>
          <w:szCs w:val="22"/>
        </w:rPr>
        <w:t xml:space="preserve"> Уније</w:t>
      </w:r>
      <w:r>
        <w:rPr>
          <w:sz w:val="22"/>
          <w:szCs w:val="22"/>
          <w:lang w:val="sr-Cyrl-CS"/>
        </w:rPr>
        <w:t>, Наслов I</w:t>
      </w:r>
      <w:r>
        <w:rPr>
          <w:sz w:val="22"/>
          <w:szCs w:val="22"/>
        </w:rPr>
        <w:t>V</w:t>
      </w:r>
      <w:r>
        <w:rPr>
          <w:sz w:val="22"/>
          <w:szCs w:val="22"/>
          <w:lang w:val="sr-Cyrl-CS"/>
        </w:rPr>
        <w:t xml:space="preserve"> – Слободно кретање људи, услуга и капитала, Поглавље 3. – Услуге,</w:t>
      </w:r>
      <w:r>
        <w:rPr>
          <w:sz w:val="22"/>
          <w:szCs w:val="22"/>
        </w:rPr>
        <w:t xml:space="preserve"> члан 56.</w:t>
      </w:r>
    </w:p>
    <w:p w:rsidR="00D34238" w:rsidRDefault="00D34238" w:rsidP="001C620C">
      <w:pPr>
        <w:jc w:val="both"/>
        <w:rPr>
          <w:sz w:val="22"/>
          <w:szCs w:val="22"/>
        </w:rPr>
      </w:pPr>
      <w:r>
        <w:rPr>
          <w:sz w:val="22"/>
          <w:szCs w:val="22"/>
        </w:rPr>
        <w:t>( потпуно усклађен )</w:t>
      </w: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lang w:val="sr-Cyrl-CS"/>
        </w:rPr>
        <w:t>Уговор о функционисању Европске уније, Део III  Политике заједнице и унутрашње мере</w:t>
      </w:r>
      <w:r>
        <w:rPr>
          <w:sz w:val="22"/>
          <w:szCs w:val="22"/>
        </w:rPr>
        <w:t xml:space="preserve"> Уније, Наслов </w:t>
      </w:r>
      <w:r>
        <w:t>VII</w:t>
      </w:r>
      <w:r>
        <w:rPr>
          <w:sz w:val="22"/>
          <w:szCs w:val="22"/>
        </w:rPr>
        <w:t xml:space="preserve">  – Заједничка правила о конкуренцији, опорезивању и приближавању закона, Поглавље 1. – Правила о конкуренцији, Потпоглавље 1. – Правила која се примењују на учеснике на тржишту, </w:t>
      </w:r>
      <w:r>
        <w:rPr>
          <w:sz w:val="22"/>
          <w:szCs w:val="22"/>
          <w:lang w:val="sr-Cyrl-CS"/>
        </w:rPr>
        <w:t xml:space="preserve"> члан 106. </w:t>
      </w:r>
      <w:r>
        <w:rPr>
          <w:sz w:val="22"/>
          <w:szCs w:val="22"/>
        </w:rPr>
        <w:t>( потпуно усклађен )</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Уговор о функционисању Европске уније, Део III  Политике заједнице и унутрашње мере</w:t>
      </w:r>
      <w:r>
        <w:rPr>
          <w:sz w:val="22"/>
          <w:szCs w:val="22"/>
        </w:rPr>
        <w:t xml:space="preserve"> Уније, Наслов </w:t>
      </w:r>
      <w:r>
        <w:t>VII</w:t>
      </w:r>
      <w:r>
        <w:rPr>
          <w:sz w:val="22"/>
          <w:szCs w:val="22"/>
        </w:rPr>
        <w:t xml:space="preserve">  – Заједничка правила о конкуренцији, опорезивању и приближавању закона, Поглавље 1. – Правила о конкуренцији, Потпоглавље 1. – Државна помоћ, члан 107. ( потпуно усклађен )</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lang w:val="sr-Cyrl-CS"/>
        </w:rPr>
        <w:t>Уговор о функционисању Европске уније, Део III Политике заједнице и унутрашње мере</w:t>
      </w:r>
      <w:r>
        <w:rPr>
          <w:sz w:val="22"/>
          <w:szCs w:val="22"/>
        </w:rPr>
        <w:t xml:space="preserve"> Уније</w:t>
      </w:r>
      <w:r>
        <w:rPr>
          <w:sz w:val="22"/>
          <w:szCs w:val="22"/>
          <w:lang w:val="sr-Cyrl-CS"/>
        </w:rPr>
        <w:t>, Наслов XIII – Култура,</w:t>
      </w:r>
      <w:r>
        <w:rPr>
          <w:sz w:val="22"/>
          <w:szCs w:val="22"/>
        </w:rPr>
        <w:t xml:space="preserve"> члан 167. ( потпуно усклађен )</w:t>
      </w:r>
    </w:p>
    <w:p w:rsidR="00D34238" w:rsidRDefault="00D34238" w:rsidP="001C620C">
      <w:pPr>
        <w:jc w:val="both"/>
        <w:rPr>
          <w:sz w:val="22"/>
          <w:szCs w:val="22"/>
        </w:rPr>
      </w:pPr>
    </w:p>
    <w:p w:rsidR="00D34238" w:rsidRDefault="00D34238" w:rsidP="001C620C">
      <w:pPr>
        <w:jc w:val="both"/>
        <w:rPr>
          <w:sz w:val="22"/>
          <w:szCs w:val="22"/>
        </w:rPr>
      </w:pPr>
      <w:r>
        <w:rPr>
          <w:sz w:val="22"/>
          <w:szCs w:val="22"/>
          <w:lang w:val="sr-Cyrl-CS"/>
        </w:rPr>
        <w:t>Уговор о функционисању Европске уније, Део III  Политике заједнице и унутрашње мере</w:t>
      </w:r>
      <w:r>
        <w:rPr>
          <w:sz w:val="22"/>
          <w:szCs w:val="22"/>
        </w:rPr>
        <w:t xml:space="preserve"> Уније</w:t>
      </w:r>
      <w:r>
        <w:rPr>
          <w:sz w:val="22"/>
          <w:szCs w:val="22"/>
          <w:lang w:val="sr-Cyrl-CS"/>
        </w:rPr>
        <w:t xml:space="preserve">, Наслов </w:t>
      </w:r>
      <w:r>
        <w:rPr>
          <w:sz w:val="22"/>
          <w:szCs w:val="22"/>
        </w:rPr>
        <w:t>XVI</w:t>
      </w:r>
      <w:r>
        <w:rPr>
          <w:sz w:val="22"/>
          <w:szCs w:val="22"/>
          <w:lang w:val="sr-Cyrl-CS"/>
        </w:rPr>
        <w:t xml:space="preserve">I – Индустрија, </w:t>
      </w:r>
      <w:r>
        <w:rPr>
          <w:sz w:val="22"/>
          <w:szCs w:val="22"/>
        </w:rPr>
        <w:t>члан 173. ( потпуно усклађен )</w:t>
      </w:r>
    </w:p>
    <w:p w:rsidR="00D34238" w:rsidRDefault="00D34238" w:rsidP="001C620C">
      <w:pPr>
        <w:jc w:val="both"/>
        <w:rPr>
          <w:sz w:val="22"/>
          <w:szCs w:val="22"/>
        </w:rPr>
      </w:pP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rPr>
        <w:t xml:space="preserve">б) </w:t>
      </w:r>
      <w:r>
        <w:rPr>
          <w:sz w:val="22"/>
          <w:szCs w:val="22"/>
          <w:lang w:val="sr-Cyrl-CS"/>
        </w:rPr>
        <w:t>Навођење</w:t>
      </w:r>
      <w:r>
        <w:rPr>
          <w:sz w:val="22"/>
          <w:szCs w:val="22"/>
        </w:rPr>
        <w:t xml:space="preserve"> секундарних извора права Европске уније </w:t>
      </w:r>
      <w:r>
        <w:rPr>
          <w:sz w:val="22"/>
          <w:szCs w:val="22"/>
          <w:lang w:val="sr-Cyrl-CS"/>
        </w:rPr>
        <w:t>и оцене усклађености са њима,</w:t>
      </w:r>
    </w:p>
    <w:p w:rsidR="00D34238" w:rsidRDefault="00D34238" w:rsidP="001C620C">
      <w:pPr>
        <w:pStyle w:val="NormalWeb"/>
        <w:jc w:val="both"/>
        <w:rPr>
          <w:bCs/>
          <w:sz w:val="22"/>
          <w:szCs w:val="22"/>
        </w:rPr>
      </w:pPr>
      <w:r>
        <w:rPr>
          <w:bCs/>
          <w:sz w:val="22"/>
          <w:szCs w:val="22"/>
        </w:rPr>
        <w:t>Директива 2010/13/ЕУ Европског парламента и Савета од 10. марта 2010. године о координацији одређених одредаба утврђених законима и другим прописима у државама чланицама о пружању аудиовизуалних медијских услуга (Директива о аудиовизуалним медијским услугама) (Сл. лист бр. L 95, 15.4.2010)</w:t>
      </w:r>
    </w:p>
    <w:p w:rsidR="00D34238" w:rsidRDefault="00D34238" w:rsidP="001C620C">
      <w:pPr>
        <w:pStyle w:val="NormalWeb"/>
        <w:jc w:val="both"/>
        <w:rPr>
          <w:bCs/>
          <w:sz w:val="22"/>
          <w:szCs w:val="22"/>
        </w:rPr>
      </w:pPr>
      <w:r>
        <w:rPr>
          <w:bCs/>
          <w:sz w:val="22"/>
          <w:szCs w:val="22"/>
        </w:rPr>
        <w:t xml:space="preserve">Directive 2010/13/EU of the European Parliament and of the Council of 10 March 2010 on the coordination of certain provisions laid down by law, regulation or administrative action in Member States concerning the provision of audiovisual media services (Audiovisual Media Services Directive) (OJ L 95, 15.4.2010), </w:t>
      </w:r>
    </w:p>
    <w:p w:rsidR="00D34238" w:rsidRDefault="00D34238" w:rsidP="001C620C">
      <w:pPr>
        <w:pStyle w:val="NormalWeb"/>
        <w:jc w:val="both"/>
        <w:rPr>
          <w:bCs/>
          <w:sz w:val="22"/>
          <w:szCs w:val="22"/>
        </w:rPr>
      </w:pPr>
      <w:r>
        <w:rPr>
          <w:bCs/>
          <w:sz w:val="22"/>
          <w:szCs w:val="22"/>
        </w:rPr>
        <w:t>CELEX</w:t>
      </w:r>
    </w:p>
    <w:p w:rsidR="00D34238" w:rsidRDefault="00D34238" w:rsidP="001C620C">
      <w:pPr>
        <w:pStyle w:val="NormalWeb"/>
        <w:spacing w:after="0" w:afterAutospacing="0"/>
        <w:jc w:val="both"/>
        <w:rPr>
          <w:bCs/>
          <w:sz w:val="22"/>
          <w:szCs w:val="22"/>
        </w:rPr>
      </w:pPr>
      <w:r>
        <w:rPr>
          <w:bCs/>
          <w:sz w:val="22"/>
          <w:szCs w:val="22"/>
        </w:rPr>
        <w:t>32010L0013</w:t>
      </w:r>
    </w:p>
    <w:p w:rsidR="00D34238" w:rsidRDefault="00D34238" w:rsidP="001C620C">
      <w:pPr>
        <w:pStyle w:val="NormalWeb"/>
        <w:spacing w:after="0" w:afterAutospacing="0"/>
        <w:jc w:val="both"/>
        <w:rPr>
          <w:iCs/>
          <w:sz w:val="22"/>
          <w:szCs w:val="22"/>
        </w:rPr>
      </w:pPr>
      <w:r>
        <w:rPr>
          <w:iCs/>
          <w:sz w:val="22"/>
          <w:szCs w:val="22"/>
        </w:rPr>
        <w:t>320</w:t>
      </w:r>
      <w:smartTag w:uri="urn:schemas-microsoft-com:office:smarttags" w:element="PersonName">
        <w:r>
          <w:rPr>
            <w:iCs/>
            <w:sz w:val="22"/>
            <w:szCs w:val="22"/>
          </w:rPr>
          <w:t>1</w:t>
        </w:r>
      </w:smartTag>
      <w:r>
        <w:rPr>
          <w:iCs/>
          <w:sz w:val="22"/>
          <w:szCs w:val="22"/>
        </w:rPr>
        <w:t>0L00</w:t>
      </w:r>
      <w:smartTag w:uri="urn:schemas-microsoft-com:office:smarttags" w:element="PersonName">
        <w:r>
          <w:rPr>
            <w:iCs/>
            <w:sz w:val="22"/>
            <w:szCs w:val="22"/>
          </w:rPr>
          <w:t>1</w:t>
        </w:r>
      </w:smartTag>
      <w:r>
        <w:rPr>
          <w:iCs/>
          <w:sz w:val="22"/>
          <w:szCs w:val="22"/>
        </w:rPr>
        <w:t>3R(01)</w:t>
      </w:r>
    </w:p>
    <w:p w:rsidR="00D34238" w:rsidRDefault="00D34238" w:rsidP="001C620C">
      <w:pPr>
        <w:jc w:val="both"/>
        <w:rPr>
          <w:bCs/>
          <w:sz w:val="22"/>
          <w:szCs w:val="22"/>
        </w:rPr>
      </w:pPr>
    </w:p>
    <w:p w:rsidR="00D34238" w:rsidRDefault="00D34238" w:rsidP="001C620C">
      <w:pPr>
        <w:jc w:val="both"/>
        <w:rPr>
          <w:b/>
          <w:bCs/>
          <w:sz w:val="22"/>
          <w:szCs w:val="22"/>
        </w:rPr>
      </w:pPr>
    </w:p>
    <w:p w:rsidR="00D34238" w:rsidRDefault="00D34238" w:rsidP="001C620C">
      <w:pPr>
        <w:jc w:val="both"/>
        <w:rPr>
          <w:sz w:val="22"/>
          <w:szCs w:val="22"/>
          <w:lang w:val="sr-Cyrl-CS"/>
        </w:rPr>
      </w:pPr>
      <w:r>
        <w:rPr>
          <w:sz w:val="22"/>
          <w:szCs w:val="22"/>
          <w:lang w:val="sr-Cyrl-CS"/>
        </w:rPr>
        <w:t>в</w:t>
      </w:r>
      <w:r>
        <w:rPr>
          <w:sz w:val="22"/>
          <w:szCs w:val="22"/>
        </w:rPr>
        <w:t xml:space="preserve">) </w:t>
      </w:r>
      <w:r>
        <w:rPr>
          <w:sz w:val="22"/>
          <w:szCs w:val="22"/>
          <w:lang w:val="sr-Cyrl-CS"/>
        </w:rPr>
        <w:t>Навођење осталих извора права Европске уније и усклађеност са њима,</w:t>
      </w:r>
    </w:p>
    <w:p w:rsidR="00D34238" w:rsidRDefault="00D34238" w:rsidP="001C620C">
      <w:pPr>
        <w:jc w:val="both"/>
        <w:rPr>
          <w:sz w:val="22"/>
          <w:szCs w:val="22"/>
          <w:lang w:val="sr-Cyrl-CS"/>
        </w:rPr>
      </w:pPr>
    </w:p>
    <w:p w:rsidR="00D34238" w:rsidRDefault="00D34238" w:rsidP="001C620C">
      <w:pPr>
        <w:jc w:val="both"/>
        <w:rPr>
          <w:sz w:val="22"/>
          <w:szCs w:val="22"/>
          <w:lang w:val="sr-Cyrl-CS"/>
        </w:rPr>
      </w:pPr>
      <w:r>
        <w:rPr>
          <w:sz w:val="22"/>
          <w:szCs w:val="22"/>
          <w:lang w:val="sr-Cyrl-CS"/>
        </w:rPr>
        <w:t>/</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lang w:val="sr-Cyrl-CS"/>
        </w:rPr>
        <w:t>г</w:t>
      </w:r>
      <w:r>
        <w:rPr>
          <w:sz w:val="22"/>
          <w:szCs w:val="22"/>
        </w:rPr>
        <w:t xml:space="preserve">) </w:t>
      </w:r>
      <w:r>
        <w:rPr>
          <w:sz w:val="22"/>
          <w:szCs w:val="22"/>
          <w:lang w:val="sr-Cyrl-CS"/>
        </w:rPr>
        <w:t>Р</w:t>
      </w:r>
      <w:r>
        <w:rPr>
          <w:sz w:val="22"/>
          <w:szCs w:val="22"/>
        </w:rPr>
        <w:t>азлози за дел</w:t>
      </w:r>
      <w:r>
        <w:rPr>
          <w:sz w:val="22"/>
          <w:szCs w:val="22"/>
          <w:lang w:val="sr-Cyrl-CS"/>
        </w:rPr>
        <w:t>и</w:t>
      </w:r>
      <w:r>
        <w:rPr>
          <w:sz w:val="22"/>
          <w:szCs w:val="22"/>
        </w:rPr>
        <w:t>мичну усклађеност</w:t>
      </w:r>
      <w:r>
        <w:rPr>
          <w:sz w:val="22"/>
          <w:szCs w:val="22"/>
          <w:lang w:val="sr-Cyrl-CS"/>
        </w:rPr>
        <w:t>,</w:t>
      </w:r>
      <w:r>
        <w:rPr>
          <w:sz w:val="22"/>
          <w:szCs w:val="22"/>
        </w:rPr>
        <w:t xml:space="preserve"> односно неусклађеност,</w:t>
      </w:r>
    </w:p>
    <w:p w:rsidR="00D34238" w:rsidRDefault="00D34238" w:rsidP="001C620C">
      <w:pPr>
        <w:jc w:val="both"/>
        <w:rPr>
          <w:sz w:val="22"/>
          <w:szCs w:val="22"/>
          <w:lang w:val="sr-Cyrl-CS"/>
        </w:rPr>
      </w:pPr>
      <w:r>
        <w:rPr>
          <w:sz w:val="22"/>
          <w:szCs w:val="22"/>
          <w:lang w:val="sr-Cyrl-CS"/>
        </w:rPr>
        <w:br/>
        <w:t>/</w:t>
      </w:r>
    </w:p>
    <w:p w:rsidR="00D34238" w:rsidRDefault="00D34238" w:rsidP="001C620C">
      <w:pPr>
        <w:jc w:val="both"/>
        <w:rPr>
          <w:sz w:val="22"/>
          <w:szCs w:val="22"/>
        </w:rPr>
      </w:pPr>
    </w:p>
    <w:p w:rsidR="00D34238" w:rsidRDefault="00D34238" w:rsidP="001C620C">
      <w:pPr>
        <w:jc w:val="both"/>
        <w:rPr>
          <w:sz w:val="22"/>
          <w:szCs w:val="22"/>
          <w:lang w:val="sr-Cyrl-CS"/>
        </w:rPr>
      </w:pPr>
      <w:r>
        <w:rPr>
          <w:sz w:val="22"/>
          <w:szCs w:val="22"/>
          <w:lang w:val="sr-Cyrl-CS"/>
        </w:rPr>
        <w:t>д</w:t>
      </w:r>
      <w:r>
        <w:rPr>
          <w:sz w:val="22"/>
          <w:szCs w:val="22"/>
        </w:rPr>
        <w:t>)</w:t>
      </w:r>
      <w:r>
        <w:rPr>
          <w:sz w:val="22"/>
          <w:szCs w:val="22"/>
          <w:lang w:val="sr-Cyrl-CS"/>
        </w:rPr>
        <w:t xml:space="preserve"> Р</w:t>
      </w:r>
      <w:r>
        <w:rPr>
          <w:sz w:val="22"/>
          <w:szCs w:val="22"/>
        </w:rPr>
        <w:t xml:space="preserve">ок у којем је предвиђено постизање потпуне усклађености </w:t>
      </w:r>
      <w:r>
        <w:rPr>
          <w:sz w:val="22"/>
          <w:szCs w:val="22"/>
          <w:lang w:val="sr-Cyrl-CS"/>
        </w:rPr>
        <w:t>прописа</w:t>
      </w:r>
      <w:r>
        <w:rPr>
          <w:sz w:val="22"/>
          <w:szCs w:val="22"/>
        </w:rPr>
        <w:t xml:space="preserve"> с</w:t>
      </w:r>
      <w:r>
        <w:rPr>
          <w:sz w:val="22"/>
          <w:szCs w:val="22"/>
          <w:lang w:val="sr-Cyrl-CS"/>
        </w:rPr>
        <w:t>а прописима Европске уније.</w:t>
      </w:r>
    </w:p>
    <w:p w:rsidR="00D34238" w:rsidRDefault="00D34238" w:rsidP="001C620C">
      <w:pPr>
        <w:jc w:val="both"/>
        <w:rPr>
          <w:sz w:val="22"/>
          <w:szCs w:val="22"/>
          <w:lang w:val="sr-Cyrl-CS"/>
        </w:rPr>
      </w:pPr>
    </w:p>
    <w:p w:rsidR="00D34238" w:rsidRDefault="00D34238" w:rsidP="001C620C">
      <w:pPr>
        <w:jc w:val="both"/>
        <w:rPr>
          <w:i/>
          <w:sz w:val="22"/>
          <w:szCs w:val="22"/>
          <w:lang w:val="sr-Cyrl-CS"/>
        </w:rPr>
      </w:pPr>
      <w:r>
        <w:rPr>
          <w:i/>
          <w:sz w:val="22"/>
          <w:szCs w:val="22"/>
          <w:lang w:val="sr-Cyrl-CS"/>
        </w:rPr>
        <w:t>/</w:t>
      </w:r>
    </w:p>
    <w:p w:rsidR="00D34238" w:rsidRDefault="00D34238" w:rsidP="001C620C">
      <w:pPr>
        <w:jc w:val="both"/>
        <w:rPr>
          <w:color w:val="000000"/>
          <w:sz w:val="22"/>
          <w:szCs w:val="22"/>
          <w:lang w:val="ru-RU"/>
        </w:rPr>
      </w:pPr>
      <w:r>
        <w:rPr>
          <w:sz w:val="22"/>
          <w:szCs w:val="22"/>
          <w:lang w:val="sr-Cyrl-CS"/>
        </w:rPr>
        <w:t>5</w:t>
      </w:r>
      <w:r>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34238" w:rsidRDefault="00D34238" w:rsidP="001C620C">
      <w:pPr>
        <w:jc w:val="both"/>
        <w:rPr>
          <w:color w:val="000000"/>
          <w:sz w:val="22"/>
          <w:szCs w:val="22"/>
          <w:lang w:val="ru-RU"/>
        </w:rPr>
      </w:pPr>
    </w:p>
    <w:p w:rsidR="00D34238" w:rsidRDefault="00D34238" w:rsidP="001C620C">
      <w:pPr>
        <w:jc w:val="both"/>
        <w:rPr>
          <w:sz w:val="22"/>
          <w:szCs w:val="22"/>
          <w:lang w:val="sr-Cyrl-CS"/>
        </w:rPr>
      </w:pPr>
      <w:r>
        <w:rPr>
          <w:sz w:val="22"/>
          <w:szCs w:val="22"/>
          <w:lang w:val="sr-Cyrl-CS"/>
        </w:rPr>
        <w:t>/</w:t>
      </w:r>
    </w:p>
    <w:p w:rsidR="00D34238" w:rsidRDefault="00D34238" w:rsidP="001C620C">
      <w:pPr>
        <w:jc w:val="both"/>
        <w:rPr>
          <w:sz w:val="22"/>
          <w:szCs w:val="22"/>
          <w:lang w:val="sr-Cyrl-CS"/>
        </w:rPr>
      </w:pPr>
    </w:p>
    <w:p w:rsidR="00D34238" w:rsidRDefault="00D34238" w:rsidP="001C620C">
      <w:pPr>
        <w:jc w:val="both"/>
        <w:rPr>
          <w:sz w:val="22"/>
          <w:szCs w:val="22"/>
        </w:rPr>
      </w:pPr>
      <w:r>
        <w:rPr>
          <w:sz w:val="22"/>
          <w:szCs w:val="22"/>
          <w:lang w:val="sr-Cyrl-CS"/>
        </w:rPr>
        <w:t>6</w:t>
      </w:r>
      <w:r>
        <w:rPr>
          <w:sz w:val="22"/>
          <w:szCs w:val="22"/>
        </w:rPr>
        <w:t xml:space="preserve">. </w:t>
      </w:r>
      <w:r>
        <w:rPr>
          <w:sz w:val="22"/>
          <w:szCs w:val="22"/>
          <w:lang w:val="sr-Cyrl-CS"/>
        </w:rPr>
        <w:t xml:space="preserve">Да </w:t>
      </w:r>
      <w:r>
        <w:rPr>
          <w:sz w:val="22"/>
          <w:szCs w:val="22"/>
        </w:rPr>
        <w:t>ли</w:t>
      </w:r>
      <w:r>
        <w:rPr>
          <w:sz w:val="22"/>
          <w:szCs w:val="22"/>
          <w:lang w:val="sr-Cyrl-CS"/>
        </w:rPr>
        <w:t xml:space="preserve"> су претходно</w:t>
      </w:r>
      <w:r>
        <w:rPr>
          <w:sz w:val="22"/>
          <w:szCs w:val="22"/>
        </w:rPr>
        <w:t xml:space="preserve"> наведени извори права Европске уније преведени на </w:t>
      </w:r>
      <w:r>
        <w:rPr>
          <w:sz w:val="22"/>
          <w:szCs w:val="22"/>
          <w:lang w:val="sr-Cyrl-CS"/>
        </w:rPr>
        <w:t>срп</w:t>
      </w:r>
      <w:r>
        <w:rPr>
          <w:sz w:val="22"/>
          <w:szCs w:val="22"/>
        </w:rPr>
        <w:t>ски језик?</w:t>
      </w:r>
    </w:p>
    <w:p w:rsidR="00D34238" w:rsidRDefault="00D34238" w:rsidP="001C620C">
      <w:pPr>
        <w:jc w:val="both"/>
        <w:rPr>
          <w:sz w:val="22"/>
          <w:szCs w:val="22"/>
        </w:rPr>
      </w:pPr>
    </w:p>
    <w:p w:rsidR="00D34238" w:rsidRDefault="00D34238" w:rsidP="001C620C">
      <w:pPr>
        <w:jc w:val="both"/>
        <w:rPr>
          <w:sz w:val="22"/>
          <w:szCs w:val="22"/>
        </w:rPr>
      </w:pPr>
      <w:r>
        <w:rPr>
          <w:sz w:val="22"/>
          <w:szCs w:val="22"/>
        </w:rPr>
        <w:t>Да.</w:t>
      </w:r>
    </w:p>
    <w:p w:rsidR="00D34238" w:rsidRDefault="00D34238" w:rsidP="001C620C">
      <w:pPr>
        <w:jc w:val="both"/>
        <w:rPr>
          <w:sz w:val="22"/>
          <w:szCs w:val="22"/>
        </w:rPr>
      </w:pPr>
    </w:p>
    <w:p w:rsidR="00D34238" w:rsidRDefault="00D34238" w:rsidP="001C620C">
      <w:pPr>
        <w:jc w:val="both"/>
        <w:rPr>
          <w:sz w:val="22"/>
          <w:szCs w:val="22"/>
        </w:rPr>
      </w:pPr>
      <w:r>
        <w:rPr>
          <w:sz w:val="22"/>
          <w:szCs w:val="22"/>
          <w:lang w:val="sr-Cyrl-CS"/>
        </w:rPr>
        <w:t>7</w:t>
      </w:r>
      <w:r>
        <w:rPr>
          <w:sz w:val="22"/>
          <w:szCs w:val="22"/>
        </w:rPr>
        <w:t xml:space="preserve">. </w:t>
      </w:r>
      <w:r>
        <w:rPr>
          <w:sz w:val="22"/>
          <w:szCs w:val="22"/>
          <w:lang w:val="sr-Cyrl-CS"/>
        </w:rPr>
        <w:t>Да ли је</w:t>
      </w:r>
      <w:r>
        <w:rPr>
          <w:sz w:val="22"/>
          <w:szCs w:val="22"/>
        </w:rPr>
        <w:t xml:space="preserve"> пропис преведен на неки службени језик Европске уније?</w:t>
      </w:r>
    </w:p>
    <w:p w:rsidR="00D34238" w:rsidRDefault="00D34238" w:rsidP="001C620C">
      <w:pPr>
        <w:jc w:val="both"/>
        <w:rPr>
          <w:sz w:val="22"/>
          <w:szCs w:val="22"/>
        </w:rPr>
      </w:pPr>
    </w:p>
    <w:p w:rsidR="00D34238" w:rsidRDefault="00D34238" w:rsidP="001C620C">
      <w:pPr>
        <w:jc w:val="both"/>
        <w:rPr>
          <w:sz w:val="22"/>
          <w:szCs w:val="22"/>
        </w:rPr>
      </w:pPr>
      <w:r>
        <w:rPr>
          <w:sz w:val="22"/>
          <w:szCs w:val="22"/>
        </w:rPr>
        <w:t>Да.</w:t>
      </w:r>
    </w:p>
    <w:p w:rsidR="00D34238" w:rsidRDefault="00D34238" w:rsidP="001C620C">
      <w:pPr>
        <w:jc w:val="both"/>
        <w:rPr>
          <w:sz w:val="22"/>
          <w:szCs w:val="22"/>
        </w:rPr>
      </w:pPr>
    </w:p>
    <w:p w:rsidR="00D34238" w:rsidRDefault="00D34238" w:rsidP="001C620C">
      <w:pPr>
        <w:jc w:val="both"/>
        <w:rPr>
          <w:sz w:val="22"/>
          <w:szCs w:val="22"/>
        </w:rPr>
      </w:pPr>
      <w:r>
        <w:rPr>
          <w:sz w:val="22"/>
          <w:szCs w:val="22"/>
          <w:lang w:val="sr-Cyrl-CS"/>
        </w:rPr>
        <w:t>8</w:t>
      </w:r>
      <w:r>
        <w:rPr>
          <w:sz w:val="22"/>
          <w:szCs w:val="22"/>
        </w:rPr>
        <w:t xml:space="preserve">. </w:t>
      </w:r>
      <w:r>
        <w:rPr>
          <w:sz w:val="22"/>
          <w:szCs w:val="22"/>
          <w:lang w:val="sr-Cyrl-CS"/>
        </w:rPr>
        <w:t>Учешће</w:t>
      </w:r>
      <w:r>
        <w:rPr>
          <w:sz w:val="22"/>
          <w:szCs w:val="22"/>
        </w:rPr>
        <w:t xml:space="preserve"> кон</w:t>
      </w:r>
      <w:r>
        <w:rPr>
          <w:sz w:val="22"/>
          <w:szCs w:val="22"/>
          <w:lang w:val="sr-Cyrl-CS"/>
        </w:rPr>
        <w:t>с</w:t>
      </w:r>
      <w:r>
        <w:rPr>
          <w:sz w:val="22"/>
          <w:szCs w:val="22"/>
        </w:rPr>
        <w:t>ултаната у изради прописаи њихово мишљење о усклађености</w:t>
      </w:r>
    </w:p>
    <w:p w:rsidR="00D34238" w:rsidRDefault="00D34238" w:rsidP="001C620C">
      <w:pPr>
        <w:jc w:val="both"/>
        <w:rPr>
          <w:sz w:val="22"/>
          <w:szCs w:val="22"/>
        </w:rPr>
      </w:pPr>
    </w:p>
    <w:p w:rsidR="00D34238" w:rsidRPr="00536C9B" w:rsidRDefault="00D34238" w:rsidP="001C620C">
      <w:pPr>
        <w:shd w:val="clear" w:color="auto" w:fill="FFFFFF"/>
        <w:jc w:val="both"/>
        <w:rPr>
          <w:sz w:val="22"/>
          <w:szCs w:val="22"/>
          <w:lang w:val="sr-Cyrl-CS"/>
        </w:rPr>
      </w:pPr>
      <w:r w:rsidRPr="00536C9B">
        <w:rPr>
          <w:sz w:val="22"/>
          <w:szCs w:val="22"/>
          <w:lang w:val="sr-Cyrl-CS"/>
        </w:rPr>
        <w:t>Консултације су обављене</w:t>
      </w:r>
      <w:r>
        <w:rPr>
          <w:sz w:val="22"/>
          <w:szCs w:val="22"/>
          <w:lang w:val="sr-Cyrl-CS"/>
        </w:rPr>
        <w:t xml:space="preserve"> са Министарством финансија</w:t>
      </w:r>
      <w:r w:rsidRPr="00536C9B">
        <w:rPr>
          <w:sz w:val="22"/>
          <w:szCs w:val="22"/>
          <w:lang w:val="sr-Cyrl-CS"/>
        </w:rPr>
        <w:t xml:space="preserve"> и са два јавна медијска сервиса.</w:t>
      </w:r>
    </w:p>
    <w:p w:rsidR="00D34238" w:rsidRDefault="00D34238" w:rsidP="001C620C">
      <w:pPr>
        <w:ind w:left="4956"/>
        <w:jc w:val="both"/>
        <w:rPr>
          <w:sz w:val="22"/>
          <w:szCs w:val="22"/>
          <w:lang w:val="sr-Cyrl-CS"/>
        </w:rPr>
      </w:pPr>
    </w:p>
    <w:p w:rsidR="00D34238" w:rsidRDefault="00D34238" w:rsidP="001C620C">
      <w:pPr>
        <w:ind w:left="4956"/>
        <w:jc w:val="both"/>
        <w:rPr>
          <w:sz w:val="22"/>
          <w:szCs w:val="22"/>
          <w:lang w:val="sr-Cyrl-CS"/>
        </w:rPr>
      </w:pPr>
    </w:p>
    <w:sectPr w:rsidR="00D34238" w:rsidSect="00C74402">
      <w:headerReference w:type="even" r:id="rId6"/>
      <w:headerReference w:type="default" r:id="rId7"/>
      <w:pgSz w:w="11906" w:h="16838"/>
      <w:pgMar w:top="1440" w:right="1440" w:bottom="1440" w:left="1440" w:header="708" w:footer="708"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238" w:rsidRDefault="00D34238">
      <w:r>
        <w:separator/>
      </w:r>
    </w:p>
  </w:endnote>
  <w:endnote w:type="continuationSeparator" w:id="0">
    <w:p w:rsidR="00D34238" w:rsidRDefault="00D342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238" w:rsidRDefault="00D34238">
      <w:r>
        <w:separator/>
      </w:r>
    </w:p>
  </w:footnote>
  <w:footnote w:type="continuationSeparator" w:id="0">
    <w:p w:rsidR="00D34238" w:rsidRDefault="00D342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238" w:rsidRDefault="00D34238" w:rsidP="008A3CA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4238" w:rsidRDefault="00D342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238" w:rsidRDefault="00D34238" w:rsidP="008A3CA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34238" w:rsidRDefault="00D342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20C"/>
    <w:rsid w:val="000A5B16"/>
    <w:rsid w:val="000E46A2"/>
    <w:rsid w:val="001C620C"/>
    <w:rsid w:val="0022630F"/>
    <w:rsid w:val="00265A6F"/>
    <w:rsid w:val="004637E5"/>
    <w:rsid w:val="004F7365"/>
    <w:rsid w:val="00536C9B"/>
    <w:rsid w:val="005B4E1B"/>
    <w:rsid w:val="008A3762"/>
    <w:rsid w:val="008A3CA8"/>
    <w:rsid w:val="0095004D"/>
    <w:rsid w:val="00AB6533"/>
    <w:rsid w:val="00B24B5E"/>
    <w:rsid w:val="00BE60B9"/>
    <w:rsid w:val="00C74402"/>
    <w:rsid w:val="00D34238"/>
    <w:rsid w:val="00D71516"/>
    <w:rsid w:val="00DB7368"/>
    <w:rsid w:val="00F051A6"/>
    <w:rsid w:val="00F744C7"/>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20C"/>
    <w:rPr>
      <w:rFonts w:ascii="Times New Roman" w:eastAsia="Times New Roman" w:hAnsi="Times New Roman"/>
      <w:sz w:val="24"/>
      <w:szCs w:val="24"/>
      <w:lang w:val="hr-HR" w:eastAsia="hr-H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C620C"/>
    <w:pPr>
      <w:spacing w:before="100" w:beforeAutospacing="1" w:after="100" w:afterAutospacing="1"/>
    </w:pPr>
    <w:rPr>
      <w:lang w:val="en-US" w:eastAsia="en-US"/>
    </w:rPr>
  </w:style>
  <w:style w:type="paragraph" w:styleId="FootnoteText">
    <w:name w:val="footnote text"/>
    <w:basedOn w:val="Normal"/>
    <w:link w:val="FootnoteTextChar"/>
    <w:uiPriority w:val="99"/>
    <w:semiHidden/>
    <w:rsid w:val="001C620C"/>
    <w:pPr>
      <w:spacing w:line="240" w:lineRule="atLeast"/>
      <w:jc w:val="both"/>
    </w:pPr>
    <w:rPr>
      <w:szCs w:val="20"/>
      <w:lang w:val="hu-HU"/>
    </w:rPr>
  </w:style>
  <w:style w:type="character" w:customStyle="1" w:styleId="FootnoteTextChar">
    <w:name w:val="Footnote Text Char"/>
    <w:basedOn w:val="DefaultParagraphFont"/>
    <w:link w:val="FootnoteText"/>
    <w:uiPriority w:val="99"/>
    <w:semiHidden/>
    <w:locked/>
    <w:rsid w:val="001C620C"/>
    <w:rPr>
      <w:rFonts w:ascii="Times New Roman" w:hAnsi="Times New Roman" w:cs="Times New Roman"/>
      <w:sz w:val="20"/>
      <w:szCs w:val="20"/>
      <w:lang w:val="hu-HU" w:eastAsia="hr-HR"/>
    </w:rPr>
  </w:style>
  <w:style w:type="paragraph" w:styleId="Header">
    <w:name w:val="header"/>
    <w:basedOn w:val="Normal"/>
    <w:link w:val="HeaderChar"/>
    <w:uiPriority w:val="99"/>
    <w:rsid w:val="00C74402"/>
    <w:pPr>
      <w:tabs>
        <w:tab w:val="center" w:pos="4535"/>
        <w:tab w:val="right" w:pos="9071"/>
      </w:tabs>
    </w:pPr>
  </w:style>
  <w:style w:type="character" w:customStyle="1" w:styleId="HeaderChar">
    <w:name w:val="Header Char"/>
    <w:basedOn w:val="DefaultParagraphFont"/>
    <w:link w:val="Header"/>
    <w:uiPriority w:val="99"/>
    <w:semiHidden/>
    <w:rsid w:val="00ED65AF"/>
    <w:rPr>
      <w:rFonts w:ascii="Times New Roman" w:eastAsia="Times New Roman" w:hAnsi="Times New Roman"/>
      <w:sz w:val="24"/>
      <w:szCs w:val="24"/>
      <w:lang w:val="hr-HR" w:eastAsia="hr-HR"/>
    </w:rPr>
  </w:style>
  <w:style w:type="character" w:styleId="PageNumber">
    <w:name w:val="page number"/>
    <w:basedOn w:val="DefaultParagraphFont"/>
    <w:uiPriority w:val="99"/>
    <w:rsid w:val="00C74402"/>
    <w:rPr>
      <w:rFonts w:cs="Times New Roman"/>
    </w:rPr>
  </w:style>
</w:styles>
</file>

<file path=word/webSettings.xml><?xml version="1.0" encoding="utf-8"?>
<w:webSettings xmlns:r="http://schemas.openxmlformats.org/officeDocument/2006/relationships" xmlns:w="http://schemas.openxmlformats.org/wordprocessingml/2006/main">
  <w:divs>
    <w:div w:id="893202626">
      <w:marLeft w:val="0"/>
      <w:marRight w:val="0"/>
      <w:marTop w:val="0"/>
      <w:marBottom w:val="0"/>
      <w:divBdr>
        <w:top w:val="none" w:sz="0" w:space="0" w:color="auto"/>
        <w:left w:val="none" w:sz="0" w:space="0" w:color="auto"/>
        <w:bottom w:val="none" w:sz="0" w:space="0" w:color="auto"/>
        <w:right w:val="none" w:sz="0" w:space="0" w:color="auto"/>
      </w:divBdr>
    </w:div>
    <w:div w:id="893202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824</Words>
  <Characters>4697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dc:creator>
  <cp:keywords/>
  <dc:description/>
  <cp:lastModifiedBy>daktilo09</cp:lastModifiedBy>
  <cp:revision>3</cp:revision>
  <cp:lastPrinted>2016-12-05T12:46:00Z</cp:lastPrinted>
  <dcterms:created xsi:type="dcterms:W3CDTF">2016-12-13T09:37:00Z</dcterms:created>
  <dcterms:modified xsi:type="dcterms:W3CDTF">2016-12-15T08:43:00Z</dcterms:modified>
</cp:coreProperties>
</file>